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6239" w14:textId="11215CD3" w:rsidR="00D06CC9" w:rsidRPr="00D06CC9" w:rsidRDefault="00731C1B" w:rsidP="00731C1B">
      <w:pPr>
        <w:tabs>
          <w:tab w:val="num" w:pos="720"/>
        </w:tabs>
        <w:kinsoku w:val="0"/>
        <w:overflowPunct w:val="0"/>
        <w:jc w:val="center"/>
        <w:textAlignment w:val="baseline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F2D6D" wp14:editId="1507503A">
            <wp:simplePos x="0" y="0"/>
            <wp:positionH relativeFrom="column">
              <wp:posOffset>4064892</wp:posOffset>
            </wp:positionH>
            <wp:positionV relativeFrom="paragraph">
              <wp:posOffset>-691669</wp:posOffset>
            </wp:positionV>
            <wp:extent cx="2372496" cy="593124"/>
            <wp:effectExtent l="0" t="0" r="0" b="0"/>
            <wp:wrapNone/>
            <wp:docPr id="2050" name="Picture 2" descr="C:\Users\SimonsV\AppData\Local\Microsoft\Windows\Temporary Internet Files\Content.Outlook\OFGLL62P\EIS web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imonsV\AppData\Local\Microsoft\Windows\Temporary Internet Files\Content.Outlook\OFGLL62P\EIS web logo 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96" cy="59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1211A6CB" wp14:editId="152B922D">
            <wp:simplePos x="0" y="0"/>
            <wp:positionH relativeFrom="column">
              <wp:posOffset>-497992</wp:posOffset>
            </wp:positionH>
            <wp:positionV relativeFrom="paragraph">
              <wp:posOffset>-578734</wp:posOffset>
            </wp:positionV>
            <wp:extent cx="1529011" cy="6366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HNES_120MM_MONO (1)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11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CC9" w:rsidRPr="00D06CC9">
        <w:rPr>
          <w:b/>
          <w:bCs/>
          <w:sz w:val="36"/>
          <w:szCs w:val="36"/>
          <w:u w:val="single"/>
        </w:rPr>
        <w:t>Tricky Conversation: Checklists</w:t>
      </w:r>
    </w:p>
    <w:p w14:paraId="7653CE8A" w14:textId="340C62F7" w:rsidR="00F4203F" w:rsidRDefault="00D06CC9" w:rsidP="00F4203F">
      <w:pPr>
        <w:tabs>
          <w:tab w:val="num" w:pos="720"/>
        </w:tabs>
        <w:kinsoku w:val="0"/>
        <w:overflowPunct w:val="0"/>
        <w:ind w:left="720" w:hanging="360"/>
        <w:textAlignment w:val="baseline"/>
        <w:rPr>
          <w:b/>
          <w:bCs/>
          <w:sz w:val="28"/>
          <w:szCs w:val="28"/>
        </w:rPr>
      </w:pPr>
      <w:r w:rsidRPr="00D06CC9">
        <w:rPr>
          <w:b/>
          <w:bCs/>
          <w:sz w:val="28"/>
          <w:szCs w:val="28"/>
        </w:rPr>
        <w:t xml:space="preserve">Before the meeting </w:t>
      </w:r>
    </w:p>
    <w:p w14:paraId="51C8ECFE" w14:textId="2E39FFDC" w:rsidR="00D06CC9" w:rsidRPr="00F4203F" w:rsidRDefault="00D06CC9" w:rsidP="00F4203F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F4203F">
        <w:rPr>
          <w:rFonts w:ascii="Arial" w:eastAsiaTheme="minorEastAsia" w:hAnsi="Arial" w:cs="Arial"/>
          <w:color w:val="000000" w:themeColor="text1"/>
        </w:rPr>
        <w:t>Have you talked to the child’s parents before about their child’s development? Remember what those conversations consisted of and build on these when you are discussing your concerns</w:t>
      </w:r>
    </w:p>
    <w:p w14:paraId="2438BDF1" w14:textId="50336F11" w:rsidR="00D06CC9" w:rsidRPr="00604A3A" w:rsidRDefault="00D06CC9" w:rsidP="00D06CC9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604A3A">
        <w:rPr>
          <w:rFonts w:ascii="Arial" w:eastAsiaTheme="minorEastAsia" w:hAnsi="Arial" w:cs="Arial"/>
          <w:color w:val="000000" w:themeColor="text1"/>
        </w:rPr>
        <w:t xml:space="preserve">Set aside </w:t>
      </w:r>
      <w:r w:rsidR="00603A65">
        <w:rPr>
          <w:rFonts w:ascii="Arial" w:eastAsiaTheme="minorEastAsia" w:hAnsi="Arial" w:cs="Arial"/>
          <w:color w:val="000000" w:themeColor="text1"/>
        </w:rPr>
        <w:t>enough</w:t>
      </w:r>
      <w:r w:rsidRPr="00604A3A">
        <w:rPr>
          <w:rFonts w:ascii="Arial" w:eastAsiaTheme="minorEastAsia" w:hAnsi="Arial" w:cs="Arial"/>
          <w:color w:val="000000" w:themeColor="text1"/>
        </w:rPr>
        <w:t xml:space="preserve"> time and a space to have your conversation- try to find somewhere with minimal distractions</w:t>
      </w:r>
      <w:r w:rsidR="00603A65">
        <w:rPr>
          <w:rFonts w:ascii="Arial" w:eastAsiaTheme="minorEastAsia" w:hAnsi="Arial" w:cs="Arial"/>
          <w:color w:val="000000" w:themeColor="text1"/>
        </w:rPr>
        <w:t>. Is it welcoming</w:t>
      </w:r>
      <w:r w:rsidR="00731C1B">
        <w:rPr>
          <w:rFonts w:ascii="Arial" w:eastAsiaTheme="minorEastAsia" w:hAnsi="Arial" w:cs="Arial"/>
          <w:color w:val="000000" w:themeColor="text1"/>
        </w:rPr>
        <w:t>?</w:t>
      </w:r>
    </w:p>
    <w:p w14:paraId="2FDB8F15" w14:textId="77777777" w:rsidR="00D06CC9" w:rsidRPr="00604A3A" w:rsidRDefault="00D06CC9" w:rsidP="00D06CC9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604A3A">
        <w:rPr>
          <w:rFonts w:ascii="Arial" w:eastAsiaTheme="minorEastAsia" w:hAnsi="Arial" w:cs="Arial"/>
          <w:color w:val="000000" w:themeColor="text1"/>
        </w:rPr>
        <w:t>Gather your paperwork – these might be your observation notes, videos, photos or child’s work</w:t>
      </w:r>
    </w:p>
    <w:p w14:paraId="150CEBE1" w14:textId="77777777" w:rsidR="00D06CC9" w:rsidRPr="00604A3A" w:rsidRDefault="00D06CC9" w:rsidP="00D06CC9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604A3A">
        <w:rPr>
          <w:rFonts w:ascii="Arial" w:eastAsiaTheme="minorEastAsia" w:hAnsi="Arial" w:cs="Arial"/>
          <w:color w:val="000000" w:themeColor="text1"/>
        </w:rPr>
        <w:t>Revise what you know about the child’s home life and family situation – consider the child as a whole and be mindful of the context in which you’re having your conversation</w:t>
      </w:r>
    </w:p>
    <w:p w14:paraId="2BC1C2A6" w14:textId="1F71E983" w:rsidR="00D06CC9" w:rsidRPr="00604A3A" w:rsidRDefault="00D06CC9" w:rsidP="00D06CC9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604A3A">
        <w:rPr>
          <w:rFonts w:ascii="Arial" w:eastAsiaTheme="minorEastAsia" w:hAnsi="Arial" w:cs="Arial"/>
          <w:color w:val="000000" w:themeColor="text1"/>
        </w:rPr>
        <w:t>Plan for how you would like the conversation to go – what is your end goal? Do you have advice or information that you can share about next steps?</w:t>
      </w:r>
    </w:p>
    <w:p w14:paraId="7021D324" w14:textId="77777777" w:rsidR="00D06CC9" w:rsidRPr="00604A3A" w:rsidRDefault="00D06CC9" w:rsidP="00D06CC9">
      <w:pPr>
        <w:kinsoku w:val="0"/>
        <w:overflowPunct w:val="0"/>
        <w:ind w:left="360"/>
        <w:textAlignment w:val="baseline"/>
        <w:rPr>
          <w:rFonts w:ascii="Arial" w:hAnsi="Arial" w:cs="Arial"/>
          <w:color w:val="000000"/>
        </w:rPr>
      </w:pPr>
    </w:p>
    <w:p w14:paraId="701803BB" w14:textId="7A33DA72" w:rsidR="00D06CC9" w:rsidRPr="00731C1B" w:rsidRDefault="00D06CC9" w:rsidP="00D06CC9">
      <w:pPr>
        <w:kinsoku w:val="0"/>
        <w:overflowPunct w:val="0"/>
        <w:ind w:left="360"/>
        <w:textAlignment w:val="baseline"/>
        <w:rPr>
          <w:b/>
          <w:bCs/>
          <w:color w:val="000000"/>
          <w:sz w:val="30"/>
          <w:szCs w:val="30"/>
        </w:rPr>
      </w:pPr>
      <w:r w:rsidRPr="00731C1B">
        <w:rPr>
          <w:b/>
          <w:bCs/>
          <w:color w:val="000000"/>
          <w:sz w:val="30"/>
          <w:szCs w:val="30"/>
        </w:rPr>
        <w:t xml:space="preserve">At the meeting </w:t>
      </w:r>
    </w:p>
    <w:p w14:paraId="5D836D33" w14:textId="77777777" w:rsidR="00D06CC9" w:rsidRPr="00D06CC9" w:rsidRDefault="00D06CC9" w:rsidP="00D06CC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6CC9">
        <w:rPr>
          <w:rFonts w:ascii="Arial" w:hAnsi="Arial" w:cs="Arial"/>
          <w:sz w:val="24"/>
          <w:szCs w:val="24"/>
        </w:rPr>
        <w:t>Begin on a positive note, sharing positive examples of how the child or young person has used their strengths.</w:t>
      </w:r>
    </w:p>
    <w:p w14:paraId="16012C6D" w14:textId="77777777" w:rsidR="00D06CC9" w:rsidRPr="00D06CC9" w:rsidRDefault="00D06CC9" w:rsidP="00D06CC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6CC9">
        <w:rPr>
          <w:rFonts w:ascii="Arial" w:hAnsi="Arial" w:cs="Arial"/>
          <w:sz w:val="24"/>
          <w:szCs w:val="24"/>
        </w:rPr>
        <w:t>Ask the parents ow they feel about their child’s development – try questions like “do you find him difficult to understand at home? Or ‘have you noticed that she sometimes finds it hard to follow an instruction?</w:t>
      </w:r>
    </w:p>
    <w:p w14:paraId="4611FE7B" w14:textId="659B7028" w:rsidR="00D06CC9" w:rsidRPr="00D06CC9" w:rsidRDefault="00D06CC9" w:rsidP="00D06CC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6CC9">
        <w:rPr>
          <w:rFonts w:ascii="Arial" w:hAnsi="Arial" w:cs="Arial"/>
          <w:sz w:val="24"/>
          <w:szCs w:val="24"/>
        </w:rPr>
        <w:t>Be honest about your concerns. Explain clearly why you have wanted to meet and use the evidence you have gathered to share your concerns</w:t>
      </w:r>
    </w:p>
    <w:p w14:paraId="3B5C86F5" w14:textId="4BD86A5B" w:rsidR="00D06CC9" w:rsidRPr="00D06CC9" w:rsidRDefault="00D06CC9" w:rsidP="00D06CC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6CC9">
        <w:rPr>
          <w:rFonts w:ascii="Arial" w:hAnsi="Arial" w:cs="Arial"/>
          <w:sz w:val="24"/>
          <w:szCs w:val="24"/>
        </w:rPr>
        <w:t xml:space="preserve">Use questions to bring parents </w:t>
      </w:r>
      <w:r w:rsidRPr="00604A3A">
        <w:rPr>
          <w:rFonts w:ascii="Arial" w:hAnsi="Arial" w:cs="Arial"/>
          <w:sz w:val="24"/>
          <w:szCs w:val="24"/>
        </w:rPr>
        <w:t>into</w:t>
      </w:r>
      <w:r w:rsidRPr="00D06CC9">
        <w:rPr>
          <w:rFonts w:ascii="Arial" w:hAnsi="Arial" w:cs="Arial"/>
          <w:sz w:val="24"/>
          <w:szCs w:val="24"/>
        </w:rPr>
        <w:t xml:space="preserve"> the conversation, making it clear that their opinion, as the person who knows them best, is all part of building the picture of the child’s strengths and difficulties</w:t>
      </w:r>
    </w:p>
    <w:p w14:paraId="4410F437" w14:textId="51C4D1D4" w:rsidR="00D06CC9" w:rsidRPr="00604A3A" w:rsidRDefault="00D06CC9" w:rsidP="00604A3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04A3A">
        <w:rPr>
          <w:rFonts w:ascii="Arial" w:eastAsiaTheme="minorEastAsia" w:hAnsi="Arial" w:cs="Arial"/>
          <w:color w:val="000000" w:themeColor="text1"/>
        </w:rPr>
        <w:t>Be solution focused. Try to develop action points with parents and begin your ‘assess-plan-do-review’ response, involving parents every step of the way.</w:t>
      </w:r>
    </w:p>
    <w:p w14:paraId="5975C8C8" w14:textId="77777777" w:rsidR="00D06CC9" w:rsidRPr="00604A3A" w:rsidRDefault="00D06CC9" w:rsidP="00D06CC9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604A3A">
        <w:rPr>
          <w:rFonts w:ascii="Arial" w:eastAsiaTheme="minorEastAsia" w:hAnsi="Arial" w:cs="Arial"/>
          <w:color w:val="000000" w:themeColor="text1"/>
        </w:rPr>
        <w:t>Be aware of your professional boundaries – there will be some actions that you can take forward yourself and others that may require more specialist expertise.</w:t>
      </w:r>
    </w:p>
    <w:p w14:paraId="16A48297" w14:textId="77777777" w:rsidR="00D06CC9" w:rsidRPr="00604A3A" w:rsidRDefault="00D06CC9" w:rsidP="00D06CC9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604A3A">
        <w:rPr>
          <w:rFonts w:ascii="Arial" w:eastAsiaTheme="minorEastAsia" w:hAnsi="Arial" w:cs="Arial"/>
          <w:color w:val="000000" w:themeColor="text1"/>
        </w:rPr>
        <w:t xml:space="preserve">Signpost parents to other sources of information both locally and nationally </w:t>
      </w:r>
    </w:p>
    <w:p w14:paraId="40329DD7" w14:textId="1BA8655C" w:rsidR="00D06CC9" w:rsidRPr="00604A3A" w:rsidRDefault="00D06CC9" w:rsidP="00D06CC9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rFonts w:ascii="Arial" w:hAnsi="Arial" w:cs="Arial"/>
          <w:color w:val="000000"/>
        </w:rPr>
      </w:pPr>
      <w:r w:rsidRPr="00604A3A">
        <w:rPr>
          <w:rFonts w:ascii="Arial" w:eastAsiaTheme="minorEastAsia" w:hAnsi="Arial" w:cs="Arial"/>
          <w:color w:val="000000" w:themeColor="text1"/>
        </w:rPr>
        <w:t>Jointly agree the next steps with parents, making sure that they are practical and achievable. Often working towards small steps as part of a longer-term goal is more helpful in ensuring that goals are achievable, and that progress is made.</w:t>
      </w:r>
    </w:p>
    <w:p w14:paraId="1AEAC890" w14:textId="77777777" w:rsidR="00604A3A" w:rsidRDefault="00604A3A" w:rsidP="00604A3A">
      <w:pPr>
        <w:ind w:left="360"/>
        <w:rPr>
          <w:b/>
          <w:bCs/>
          <w:sz w:val="28"/>
          <w:szCs w:val="28"/>
        </w:rPr>
      </w:pPr>
    </w:p>
    <w:p w14:paraId="4046B1E4" w14:textId="77777777" w:rsidR="00F4203F" w:rsidRDefault="00604A3A" w:rsidP="00F4203F">
      <w:pPr>
        <w:ind w:left="360"/>
        <w:rPr>
          <w:b/>
          <w:bCs/>
          <w:sz w:val="28"/>
          <w:szCs w:val="28"/>
        </w:rPr>
      </w:pPr>
      <w:r w:rsidRPr="00604A3A">
        <w:rPr>
          <w:b/>
          <w:bCs/>
          <w:sz w:val="28"/>
          <w:szCs w:val="28"/>
        </w:rPr>
        <w:t xml:space="preserve">After the meeting </w:t>
      </w:r>
    </w:p>
    <w:p w14:paraId="7EADDE96" w14:textId="4C0393B7" w:rsidR="00604A3A" w:rsidRPr="00F4203F" w:rsidRDefault="00604A3A" w:rsidP="00F4203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203F">
        <w:rPr>
          <w:rFonts w:ascii="Arial" w:eastAsiaTheme="minorEastAsia" w:hAnsi="Arial" w:cs="Arial"/>
          <w:color w:val="000000" w:themeColor="text1"/>
        </w:rPr>
        <w:t>Type up any notes that were taken at the meeting and share with parents, detailing the main points of the discussion and any agreed actions</w:t>
      </w:r>
    </w:p>
    <w:p w14:paraId="6F410B90" w14:textId="77777777" w:rsidR="00604A3A" w:rsidRPr="00604A3A" w:rsidRDefault="00604A3A" w:rsidP="00604A3A">
      <w:pPr>
        <w:pStyle w:val="NormalWeb"/>
        <w:numPr>
          <w:ilvl w:val="0"/>
          <w:numId w:val="4"/>
        </w:numPr>
        <w:kinsoku w:val="0"/>
        <w:overflowPunct w:val="0"/>
        <w:spacing w:before="115" w:beforeAutospacing="0" w:after="0" w:afterAutospacing="0"/>
        <w:textAlignment w:val="baseline"/>
        <w:rPr>
          <w:rFonts w:ascii="Arial" w:hAnsi="Arial" w:cs="Arial"/>
        </w:rPr>
      </w:pPr>
      <w:r w:rsidRPr="00604A3A">
        <w:rPr>
          <w:rFonts w:ascii="Arial" w:eastAsiaTheme="minorEastAsia" w:hAnsi="Arial" w:cs="Arial"/>
          <w:color w:val="000000" w:themeColor="text1"/>
        </w:rPr>
        <w:t>It can also be useful for you to be able to ‘debrief’ either with a colleague or manager and share any new information with them.</w:t>
      </w:r>
    </w:p>
    <w:p w14:paraId="7A0F287E" w14:textId="77777777" w:rsidR="00D06CC9" w:rsidRPr="00D06CC9" w:rsidRDefault="00D06CC9">
      <w:pPr>
        <w:rPr>
          <w:sz w:val="24"/>
          <w:szCs w:val="24"/>
        </w:rPr>
      </w:pPr>
    </w:p>
    <w:sectPr w:rsidR="00D06CC9" w:rsidRPr="00D06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B4E"/>
    <w:multiLevelType w:val="hybridMultilevel"/>
    <w:tmpl w:val="BEC4DB28"/>
    <w:lvl w:ilvl="0" w:tplc="2B108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E65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0BC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A4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04E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07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E8F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A75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E658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A54"/>
    <w:multiLevelType w:val="hybridMultilevel"/>
    <w:tmpl w:val="697C43E8"/>
    <w:lvl w:ilvl="0" w:tplc="7B781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C22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2D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D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071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EA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C7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CF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E3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0"/>
    <w:multiLevelType w:val="hybridMultilevel"/>
    <w:tmpl w:val="A628C0A6"/>
    <w:lvl w:ilvl="0" w:tplc="E82C5D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5030"/>
    <w:multiLevelType w:val="hybridMultilevel"/>
    <w:tmpl w:val="095AFC48"/>
    <w:lvl w:ilvl="0" w:tplc="E82C5D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3247"/>
    <w:multiLevelType w:val="hybridMultilevel"/>
    <w:tmpl w:val="DBC265EC"/>
    <w:lvl w:ilvl="0" w:tplc="E82C5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860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03C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41A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6DE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68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6A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6F3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864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9474544">
    <w:abstractNumId w:val="4"/>
  </w:num>
  <w:num w:numId="2" w16cid:durableId="1492135477">
    <w:abstractNumId w:val="0"/>
  </w:num>
  <w:num w:numId="3" w16cid:durableId="278488147">
    <w:abstractNumId w:val="1"/>
  </w:num>
  <w:num w:numId="4" w16cid:durableId="1929383153">
    <w:abstractNumId w:val="3"/>
  </w:num>
  <w:num w:numId="5" w16cid:durableId="146534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C9"/>
    <w:rsid w:val="00031283"/>
    <w:rsid w:val="003A3497"/>
    <w:rsid w:val="004D2E7A"/>
    <w:rsid w:val="005A73B1"/>
    <w:rsid w:val="00603A65"/>
    <w:rsid w:val="00604A3A"/>
    <w:rsid w:val="006B282E"/>
    <w:rsid w:val="00731C1B"/>
    <w:rsid w:val="0094634D"/>
    <w:rsid w:val="00A11D9C"/>
    <w:rsid w:val="00B61347"/>
    <w:rsid w:val="00D06CC9"/>
    <w:rsid w:val="00D460D3"/>
    <w:rsid w:val="00F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792E"/>
  <w15:chartTrackingRefBased/>
  <w15:docId w15:val="{B4759D0E-B4CF-43FE-83D4-6EC253BF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3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0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Rogers</dc:creator>
  <cp:keywords/>
  <dc:description/>
  <cp:lastModifiedBy>Samantha Hawkesford</cp:lastModifiedBy>
  <cp:revision>2</cp:revision>
  <dcterms:created xsi:type="dcterms:W3CDTF">2024-04-16T09:08:00Z</dcterms:created>
  <dcterms:modified xsi:type="dcterms:W3CDTF">2024-04-16T09:08:00Z</dcterms:modified>
</cp:coreProperties>
</file>