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5F1A8" w14:textId="375F0A93" w:rsidR="00E40A1F" w:rsidRDefault="00AC5446" w:rsidP="00E40A1F">
      <w:pPr>
        <w:ind w:right="-188"/>
        <w:rPr>
          <w:sz w:val="22"/>
          <w:szCs w:val="22"/>
        </w:rPr>
      </w:pPr>
      <w:r w:rsidRPr="003116A8">
        <w:rPr>
          <w:b/>
          <w:bCs/>
          <w:noProof/>
          <w:color w:val="215E99" w:themeColor="text2" w:themeTint="BF"/>
          <w:sz w:val="32"/>
          <w:szCs w:val="32"/>
        </w:rPr>
        <mc:AlternateContent>
          <mc:Choice Requires="wps">
            <w:drawing>
              <wp:anchor distT="45720" distB="45720" distL="114300" distR="114300" simplePos="0" relativeHeight="251663360" behindDoc="0" locked="0" layoutInCell="1" allowOverlap="1" wp14:anchorId="16BF4CFE" wp14:editId="5DB38215">
                <wp:simplePos x="0" y="0"/>
                <wp:positionH relativeFrom="margin">
                  <wp:posOffset>-250825</wp:posOffset>
                </wp:positionH>
                <wp:positionV relativeFrom="paragraph">
                  <wp:posOffset>456565</wp:posOffset>
                </wp:positionV>
                <wp:extent cx="6108700" cy="552450"/>
                <wp:effectExtent l="0" t="0" r="25400" b="19050"/>
                <wp:wrapSquare wrapText="bothSides"/>
                <wp:docPr id="20675887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552450"/>
                        </a:xfrm>
                        <a:prstGeom prst="rect">
                          <a:avLst/>
                        </a:prstGeom>
                        <a:solidFill>
                          <a:srgbClr val="FFFFFF"/>
                        </a:solidFill>
                        <a:ln w="9525">
                          <a:solidFill>
                            <a:srgbClr val="000000"/>
                          </a:solidFill>
                          <a:miter lim="800000"/>
                          <a:headEnd/>
                          <a:tailEnd/>
                        </a:ln>
                      </wps:spPr>
                      <wps:txbx>
                        <w:txbxContent>
                          <w:p w14:paraId="5B4D9692" w14:textId="2604C39F" w:rsidR="003116A8" w:rsidRPr="00E40A1F" w:rsidRDefault="00E67F7A" w:rsidP="003116A8">
                            <w:pPr>
                              <w:jc w:val="center"/>
                              <w:rPr>
                                <w:b/>
                                <w:bCs/>
                                <w:color w:val="215E99" w:themeColor="text2" w:themeTint="BF"/>
                                <w:sz w:val="28"/>
                              </w:rPr>
                            </w:pPr>
                            <w:r w:rsidRPr="00E40A1F">
                              <w:rPr>
                                <w:b/>
                                <w:bCs/>
                                <w:color w:val="215E99" w:themeColor="text2" w:themeTint="BF"/>
                                <w:sz w:val="28"/>
                              </w:rPr>
                              <w:t>Agreement</w:t>
                            </w:r>
                            <w:r w:rsidR="003116A8" w:rsidRPr="00E40A1F">
                              <w:rPr>
                                <w:b/>
                                <w:bCs/>
                                <w:color w:val="215E99" w:themeColor="text2" w:themeTint="BF"/>
                                <w:sz w:val="28"/>
                              </w:rPr>
                              <w:t xml:space="preserve"> to Engage with the Special Educational Needs and Disability (SEND) and Alternative Provision (AP) Advice Service</w:t>
                            </w:r>
                          </w:p>
                          <w:p w14:paraId="44DEAFE7" w14:textId="75DA85D8" w:rsidR="003116A8" w:rsidRDefault="003116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BF4CFE" id="_x0000_t202" coordsize="21600,21600" o:spt="202" path="m,l,21600r21600,l21600,xe">
                <v:stroke joinstyle="miter"/>
                <v:path gradientshapeok="t" o:connecttype="rect"/>
              </v:shapetype>
              <v:shape id="Text Box 2" o:spid="_x0000_s1026" type="#_x0000_t202" style="position:absolute;margin-left:-19.75pt;margin-top:35.95pt;width:481pt;height:43.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">
                <v:textbox>
                  <w:txbxContent>
                    <w:p w14:paraId="5B4D9692" w14:textId="2604C39F" w:rsidR="003116A8" w:rsidRPr="00E40A1F" w:rsidRDefault="00E67F7A" w:rsidP="003116A8">
                      <w:pPr>
                        <w:jc w:val="center"/>
                        <w:rPr>
                          <w:b/>
                          <w:bCs/>
                          <w:color w:val="215E99" w:themeColor="text2" w:themeTint="BF"/>
                          <w:sz w:val="28"/>
                        </w:rPr>
                      </w:pPr>
                      <w:r w:rsidRPr="00E40A1F">
                        <w:rPr>
                          <w:b/>
                          <w:bCs/>
                          <w:color w:val="215E99" w:themeColor="text2" w:themeTint="BF"/>
                          <w:sz w:val="28"/>
                        </w:rPr>
                        <w:t>Agreement</w:t>
                      </w:r>
                      <w:r w:rsidR="003116A8" w:rsidRPr="00E40A1F">
                        <w:rPr>
                          <w:b/>
                          <w:bCs/>
                          <w:color w:val="215E99" w:themeColor="text2" w:themeTint="BF"/>
                          <w:sz w:val="28"/>
                        </w:rPr>
                        <w:t xml:space="preserve"> to Engage with the Special Educational Needs and Disability (SEND) and Alternative Provision (AP) Advice Service</w:t>
                      </w:r>
                    </w:p>
                    <w:p w14:paraId="44DEAFE7" w14:textId="75DA85D8" w:rsidR="003116A8" w:rsidRDefault="003116A8"/>
                  </w:txbxContent>
                </v:textbox>
                <w10:wrap type="square" anchorx="margin"/>
              </v:shape>
            </w:pict>
          </mc:Fallback>
        </mc:AlternateContent>
      </w:r>
    </w:p>
    <w:p w14:paraId="503EBA49" w14:textId="6AC2B0CF" w:rsidR="000C4587" w:rsidRPr="00984991" w:rsidRDefault="00F85FAA" w:rsidP="002B7737">
      <w:pPr>
        <w:ind w:left="-142" w:right="-22"/>
        <w:jc w:val="both"/>
        <w:rPr>
          <w:sz w:val="22"/>
          <w:szCs w:val="22"/>
        </w:rPr>
      </w:pPr>
      <w:r w:rsidRPr="00984991">
        <w:rPr>
          <w:sz w:val="22"/>
          <w:szCs w:val="22"/>
        </w:rPr>
        <w:t xml:space="preserve">The SEND and AP advice service is an early advice service for professionals working with children and young people from B&amp;NES with SEND and </w:t>
      </w:r>
      <w:r w:rsidR="009436F7" w:rsidRPr="00984991">
        <w:rPr>
          <w:sz w:val="22"/>
          <w:szCs w:val="22"/>
        </w:rPr>
        <w:t>those that may require AP</w:t>
      </w:r>
      <w:r w:rsidRPr="00984991">
        <w:rPr>
          <w:sz w:val="22"/>
          <w:szCs w:val="22"/>
        </w:rPr>
        <w:t>.  It can help education settings to meet the needs of children and young people as early as possible</w:t>
      </w:r>
      <w:r w:rsidR="00000E1C" w:rsidRPr="00984991">
        <w:rPr>
          <w:sz w:val="22"/>
          <w:szCs w:val="22"/>
        </w:rPr>
        <w:t xml:space="preserve"> through early identification of needs</w:t>
      </w:r>
      <w:r w:rsidRPr="00984991">
        <w:rPr>
          <w:sz w:val="22"/>
          <w:szCs w:val="22"/>
        </w:rPr>
        <w:t>.</w:t>
      </w:r>
      <w:r w:rsidR="003116A8" w:rsidRPr="00984991">
        <w:rPr>
          <w:sz w:val="22"/>
          <w:szCs w:val="22"/>
        </w:rPr>
        <w:t xml:space="preserve">  </w:t>
      </w:r>
      <w:r w:rsidRPr="00984991">
        <w:rPr>
          <w:sz w:val="22"/>
          <w:szCs w:val="22"/>
        </w:rPr>
        <w:t xml:space="preserve">It supports settings </w:t>
      </w:r>
      <w:r w:rsidR="003116A8" w:rsidRPr="00984991">
        <w:rPr>
          <w:sz w:val="22"/>
          <w:szCs w:val="22"/>
        </w:rPr>
        <w:t>by</w:t>
      </w:r>
      <w:r w:rsidRPr="00984991">
        <w:rPr>
          <w:sz w:val="22"/>
          <w:szCs w:val="22"/>
        </w:rPr>
        <w:t xml:space="preserve"> guid</w:t>
      </w:r>
      <w:r w:rsidR="003116A8" w:rsidRPr="00984991">
        <w:rPr>
          <w:sz w:val="22"/>
          <w:szCs w:val="22"/>
        </w:rPr>
        <w:t>ing</w:t>
      </w:r>
      <w:r w:rsidRPr="00984991">
        <w:rPr>
          <w:sz w:val="22"/>
          <w:szCs w:val="22"/>
        </w:rPr>
        <w:t xml:space="preserve"> them through the </w:t>
      </w:r>
      <w:r w:rsidR="00000E1C" w:rsidRPr="00984991">
        <w:rPr>
          <w:sz w:val="22"/>
          <w:szCs w:val="22"/>
        </w:rPr>
        <w:t>B&amp;NES SEND Commitment</w:t>
      </w:r>
      <w:r w:rsidRPr="00984991">
        <w:rPr>
          <w:sz w:val="22"/>
          <w:szCs w:val="22"/>
        </w:rPr>
        <w:t xml:space="preserve"> and </w:t>
      </w:r>
      <w:r w:rsidR="00000E1C" w:rsidRPr="00984991">
        <w:rPr>
          <w:sz w:val="22"/>
          <w:szCs w:val="22"/>
        </w:rPr>
        <w:t xml:space="preserve">by </w:t>
      </w:r>
      <w:r w:rsidRPr="00984991">
        <w:rPr>
          <w:sz w:val="22"/>
          <w:szCs w:val="22"/>
        </w:rPr>
        <w:t>signpost</w:t>
      </w:r>
      <w:r w:rsidR="003116A8" w:rsidRPr="00984991">
        <w:rPr>
          <w:sz w:val="22"/>
          <w:szCs w:val="22"/>
        </w:rPr>
        <w:t>ing</w:t>
      </w:r>
      <w:r w:rsidRPr="00984991">
        <w:rPr>
          <w:sz w:val="22"/>
          <w:szCs w:val="22"/>
        </w:rPr>
        <w:t xml:space="preserve"> to next steps and resources to support meeting needs including</w:t>
      </w:r>
      <w:r w:rsidR="00746D9C" w:rsidRPr="00984991">
        <w:rPr>
          <w:sz w:val="22"/>
          <w:szCs w:val="22"/>
        </w:rPr>
        <w:t xml:space="preserve"> </w:t>
      </w:r>
      <w:r w:rsidRPr="00984991">
        <w:rPr>
          <w:sz w:val="22"/>
          <w:szCs w:val="22"/>
        </w:rPr>
        <w:t>academic development and progress</w:t>
      </w:r>
      <w:r w:rsidR="00746D9C" w:rsidRPr="00984991">
        <w:rPr>
          <w:sz w:val="22"/>
          <w:szCs w:val="22"/>
        </w:rPr>
        <w:t xml:space="preserve">, </w:t>
      </w:r>
      <w:r w:rsidRPr="00984991">
        <w:rPr>
          <w:sz w:val="22"/>
          <w:szCs w:val="22"/>
        </w:rPr>
        <w:t>social and emotional development</w:t>
      </w:r>
      <w:r w:rsidR="00746D9C" w:rsidRPr="00984991">
        <w:rPr>
          <w:sz w:val="22"/>
          <w:szCs w:val="22"/>
        </w:rPr>
        <w:t xml:space="preserve">, </w:t>
      </w:r>
      <w:r w:rsidRPr="00984991">
        <w:rPr>
          <w:sz w:val="22"/>
          <w:szCs w:val="22"/>
        </w:rPr>
        <w:t>transitio</w:t>
      </w:r>
      <w:r w:rsidR="00FD6CC8" w:rsidRPr="00984991">
        <w:rPr>
          <w:sz w:val="22"/>
          <w:szCs w:val="22"/>
        </w:rPr>
        <w:t>ns, communication</w:t>
      </w:r>
      <w:r w:rsidR="00933DB8" w:rsidRPr="00984991">
        <w:rPr>
          <w:sz w:val="22"/>
          <w:szCs w:val="22"/>
        </w:rPr>
        <w:t xml:space="preserve"> and interaction</w:t>
      </w:r>
      <w:r w:rsidR="00600B75" w:rsidRPr="00984991">
        <w:rPr>
          <w:sz w:val="22"/>
          <w:szCs w:val="22"/>
        </w:rPr>
        <w:t>,</w:t>
      </w:r>
      <w:r w:rsidR="00933DB8" w:rsidRPr="00984991">
        <w:rPr>
          <w:sz w:val="22"/>
          <w:szCs w:val="22"/>
        </w:rPr>
        <w:t xml:space="preserve"> sensory and physical needs</w:t>
      </w:r>
      <w:r w:rsidR="005C399C" w:rsidRPr="00984991">
        <w:rPr>
          <w:sz w:val="22"/>
          <w:szCs w:val="22"/>
        </w:rPr>
        <w:t>,</w:t>
      </w:r>
      <w:r w:rsidR="00FD6CC8" w:rsidRPr="00984991">
        <w:rPr>
          <w:sz w:val="22"/>
          <w:szCs w:val="22"/>
        </w:rPr>
        <w:t xml:space="preserve"> inclusion</w:t>
      </w:r>
      <w:r w:rsidR="00BC28AB" w:rsidRPr="00984991">
        <w:rPr>
          <w:sz w:val="22"/>
          <w:szCs w:val="22"/>
        </w:rPr>
        <w:t xml:space="preserve">, </w:t>
      </w:r>
      <w:r w:rsidR="005C399C" w:rsidRPr="00984991">
        <w:rPr>
          <w:sz w:val="22"/>
          <w:szCs w:val="22"/>
        </w:rPr>
        <w:t xml:space="preserve">and </w:t>
      </w:r>
      <w:r w:rsidR="00BC28AB" w:rsidRPr="00984991">
        <w:rPr>
          <w:sz w:val="22"/>
          <w:szCs w:val="22"/>
        </w:rPr>
        <w:t>ways forward meetings</w:t>
      </w:r>
      <w:r w:rsidR="00FD6CC8" w:rsidRPr="00984991">
        <w:rPr>
          <w:sz w:val="22"/>
          <w:szCs w:val="22"/>
        </w:rPr>
        <w:t>.</w:t>
      </w:r>
    </w:p>
    <w:p w14:paraId="59EF1CCD" w14:textId="77777777" w:rsidR="00BD2258" w:rsidRPr="00984991" w:rsidRDefault="00BD2258" w:rsidP="002B7737">
      <w:pPr>
        <w:ind w:left="-142" w:right="-22"/>
        <w:jc w:val="center"/>
        <w:rPr>
          <w:b/>
          <w:bCs/>
          <w:color w:val="215E99" w:themeColor="text2" w:themeTint="BF"/>
          <w:sz w:val="22"/>
          <w:szCs w:val="22"/>
        </w:rPr>
      </w:pPr>
      <w:r w:rsidRPr="00984991">
        <w:rPr>
          <w:b/>
          <w:bCs/>
          <w:color w:val="215E99" w:themeColor="text2" w:themeTint="BF"/>
          <w:sz w:val="22"/>
          <w:szCs w:val="22"/>
        </w:rPr>
        <w:t>Agreement to engage with the SEND and AP Advice Service</w:t>
      </w:r>
    </w:p>
    <w:p w14:paraId="4530BBEA" w14:textId="504255EA" w:rsidR="00BD2258" w:rsidRPr="00984991" w:rsidRDefault="00BD2258" w:rsidP="002B7737">
      <w:pPr>
        <w:numPr>
          <w:ilvl w:val="0"/>
          <w:numId w:val="1"/>
        </w:numPr>
        <w:spacing w:after="0"/>
        <w:ind w:left="-142" w:right="-22" w:hanging="357"/>
        <w:jc w:val="both"/>
        <w:rPr>
          <w:sz w:val="22"/>
          <w:szCs w:val="22"/>
        </w:rPr>
      </w:pPr>
      <w:r w:rsidRPr="00984991">
        <w:rPr>
          <w:sz w:val="22"/>
          <w:szCs w:val="22"/>
        </w:rPr>
        <w:t xml:space="preserve">I understand that </w:t>
      </w:r>
      <w:r w:rsidR="00224DCC" w:rsidRPr="00984991">
        <w:rPr>
          <w:sz w:val="22"/>
          <w:szCs w:val="22"/>
        </w:rPr>
        <w:t>for</w:t>
      </w:r>
      <w:r w:rsidRPr="00984991">
        <w:rPr>
          <w:sz w:val="22"/>
          <w:szCs w:val="22"/>
        </w:rPr>
        <w:t xml:space="preserve"> professionals to work together they need to share information that each of them holds.  This helps them to better understand needs and organise their services to meet them.</w:t>
      </w:r>
    </w:p>
    <w:p w14:paraId="79A5D8DF" w14:textId="6542076D" w:rsidR="00BD2258" w:rsidRPr="00984991" w:rsidRDefault="00BD2258" w:rsidP="002B7737">
      <w:pPr>
        <w:numPr>
          <w:ilvl w:val="0"/>
          <w:numId w:val="1"/>
        </w:numPr>
        <w:spacing w:after="0"/>
        <w:ind w:left="-142" w:right="-22" w:hanging="357"/>
        <w:jc w:val="both"/>
        <w:rPr>
          <w:sz w:val="22"/>
          <w:szCs w:val="22"/>
        </w:rPr>
      </w:pPr>
      <w:r w:rsidRPr="00984991">
        <w:rPr>
          <w:sz w:val="22"/>
          <w:szCs w:val="22"/>
        </w:rPr>
        <w:t xml:space="preserve">I understand that any personal information about my child will be discussed in line with the </w:t>
      </w:r>
      <w:r w:rsidR="00F440FB" w:rsidRPr="00984991">
        <w:rPr>
          <w:sz w:val="22"/>
          <w:szCs w:val="22"/>
        </w:rPr>
        <w:t>law and</w:t>
      </w:r>
      <w:r w:rsidRPr="00984991">
        <w:rPr>
          <w:sz w:val="22"/>
          <w:szCs w:val="22"/>
        </w:rPr>
        <w:t xml:space="preserve"> will not be given to any other persons who are not involved in the process of planning to meet my child’s needs.</w:t>
      </w:r>
    </w:p>
    <w:p w14:paraId="6A7DCD2F" w14:textId="7FBB007A" w:rsidR="00BD2258" w:rsidRPr="00EE1C58" w:rsidRDefault="00224DCC" w:rsidP="002B7737">
      <w:pPr>
        <w:numPr>
          <w:ilvl w:val="0"/>
          <w:numId w:val="1"/>
        </w:numPr>
        <w:spacing w:after="0"/>
        <w:ind w:left="-142" w:right="-22" w:hanging="357"/>
        <w:jc w:val="both"/>
        <w:rPr>
          <w:rStyle w:val="Hyperlink"/>
          <w:color w:val="auto"/>
          <w:sz w:val="22"/>
          <w:szCs w:val="22"/>
          <w:u w:val="none"/>
        </w:rPr>
      </w:pPr>
      <w:r w:rsidRPr="00984991">
        <w:rPr>
          <w:sz w:val="22"/>
          <w:szCs w:val="22"/>
          <w:lang w:val="en"/>
        </w:rPr>
        <w:t>All</w:t>
      </w:r>
      <w:r w:rsidR="00BD2258" w:rsidRPr="00984991">
        <w:rPr>
          <w:sz w:val="22"/>
          <w:szCs w:val="22"/>
          <w:lang w:val="en"/>
        </w:rPr>
        <w:t xml:space="preserve"> the information provided in the request for support form will be handled in accordance with the provisions of </w:t>
      </w:r>
      <w:r w:rsidR="00BD2258" w:rsidRPr="00984991">
        <w:rPr>
          <w:b/>
          <w:bCs/>
          <w:sz w:val="22"/>
          <w:szCs w:val="22"/>
          <w:lang w:val="en"/>
        </w:rPr>
        <w:t>The Data Protection Act 2018</w:t>
      </w:r>
      <w:r w:rsidR="00BD2258" w:rsidRPr="00984991">
        <w:rPr>
          <w:sz w:val="22"/>
          <w:szCs w:val="22"/>
          <w:lang w:val="en"/>
        </w:rPr>
        <w:t xml:space="preserve"> - this is the UK’s implementation of the General Data Protection Regulation (GDPR). </w:t>
      </w:r>
      <w:r w:rsidR="00BD2258" w:rsidRPr="00984991">
        <w:rPr>
          <w:sz w:val="22"/>
          <w:szCs w:val="22"/>
        </w:rPr>
        <w:t xml:space="preserve">DPA 2018 says that the processing of information should be fair and lawful, that it should be for a clear and specified purpose, that only relevant information should be disclosed, that it should be accurate, that it should be shared and held only for as long as necessary, that the rights of the data subject must be upheld, and that the system should be secure.  The law also says we must share information </w:t>
      </w:r>
      <w:r w:rsidRPr="00984991">
        <w:rPr>
          <w:sz w:val="22"/>
          <w:szCs w:val="22"/>
        </w:rPr>
        <w:t>to</w:t>
      </w:r>
      <w:r w:rsidR="00BD2258" w:rsidRPr="00984991">
        <w:rPr>
          <w:sz w:val="22"/>
          <w:szCs w:val="22"/>
        </w:rPr>
        <w:t xml:space="preserve"> safeguard or protect a child or young person. </w:t>
      </w:r>
      <w:hyperlink r:id="rId7" w:history="1">
        <w:r w:rsidR="00046D20">
          <w:rPr>
            <w:rStyle w:val="Hyperlink"/>
            <w:sz w:val="22"/>
            <w:szCs w:val="22"/>
          </w:rPr>
          <w:t>Privacy Notice</w:t>
        </w:r>
      </w:hyperlink>
      <w:r w:rsidR="00BD2258" w:rsidRPr="00984991">
        <w:rPr>
          <w:sz w:val="22"/>
          <w:szCs w:val="22"/>
        </w:rPr>
        <w:t xml:space="preserve"> </w:t>
      </w:r>
      <w:r w:rsidR="00BD2258" w:rsidRPr="00984991">
        <w:rPr>
          <w:rStyle w:val="Hyperlink"/>
          <w:rFonts w:asciiTheme="minorHAnsi" w:hAnsiTheme="minorHAnsi" w:cstheme="minorHAnsi"/>
          <w:color w:val="auto"/>
          <w:sz w:val="22"/>
          <w:szCs w:val="22"/>
          <w:u w:val="none"/>
        </w:rPr>
        <w:t>(A paper copy can be provided on request.)</w:t>
      </w:r>
    </w:p>
    <w:p w14:paraId="0FC7D874" w14:textId="77777777" w:rsidR="00EE1C58" w:rsidRDefault="00EE1C58" w:rsidP="00EE1C58">
      <w:pPr>
        <w:spacing w:after="0"/>
        <w:ind w:left="-142" w:right="-22"/>
        <w:jc w:val="both"/>
        <w:rPr>
          <w:rStyle w:val="Hyperlink"/>
          <w:rFonts w:asciiTheme="minorHAnsi" w:hAnsiTheme="minorHAnsi" w:cstheme="minorHAnsi"/>
          <w:color w:val="auto"/>
          <w:sz w:val="22"/>
          <w:szCs w:val="22"/>
          <w:u w:val="none"/>
        </w:rPr>
      </w:pPr>
    </w:p>
    <w:p w14:paraId="01AAC26C" w14:textId="1D31EC68" w:rsidR="00EE1C58" w:rsidRDefault="00EE1C58" w:rsidP="00EE1C58">
      <w:pPr>
        <w:spacing w:after="0"/>
        <w:ind w:left="-142" w:right="-22"/>
        <w:jc w:val="both"/>
        <w:rPr>
          <w:rStyle w:val="Hyperlink"/>
          <w:rFonts w:asciiTheme="minorHAnsi" w:hAnsiTheme="minorHAnsi" w:cstheme="minorHAnsi"/>
          <w:b/>
          <w:bCs/>
          <w:color w:val="auto"/>
          <w:sz w:val="22"/>
          <w:szCs w:val="22"/>
          <w:u w:val="none"/>
        </w:rPr>
      </w:pPr>
      <w:r>
        <w:rPr>
          <w:rStyle w:val="Hyperlink"/>
          <w:rFonts w:asciiTheme="minorHAnsi" w:hAnsiTheme="minorHAnsi" w:cstheme="minorHAnsi"/>
          <w:b/>
          <w:bCs/>
          <w:color w:val="auto"/>
          <w:sz w:val="22"/>
          <w:szCs w:val="22"/>
          <w:u w:val="none"/>
        </w:rPr>
        <w:t>Child/Young Person Details</w:t>
      </w:r>
    </w:p>
    <w:tbl>
      <w:tblPr>
        <w:tblStyle w:val="TableGrid"/>
        <w:tblW w:w="0" w:type="auto"/>
        <w:tblInd w:w="-147" w:type="dxa"/>
        <w:tblLook w:val="04A0" w:firstRow="1" w:lastRow="0" w:firstColumn="1" w:lastColumn="0" w:noHBand="0" w:noVBand="1"/>
      </w:tblPr>
      <w:tblGrid>
        <w:gridCol w:w="1011"/>
        <w:gridCol w:w="6077"/>
        <w:gridCol w:w="851"/>
        <w:gridCol w:w="1390"/>
      </w:tblGrid>
      <w:tr w:rsidR="00EE1C58" w14:paraId="5CA7FF0E" w14:textId="77777777" w:rsidTr="00EE1C58">
        <w:tc>
          <w:tcPr>
            <w:tcW w:w="1011" w:type="dxa"/>
          </w:tcPr>
          <w:p w14:paraId="4FAC071C" w14:textId="52F17C27" w:rsidR="00EE1C58" w:rsidRDefault="00EE1C58" w:rsidP="00EE1C58">
            <w:pPr>
              <w:ind w:right="-188"/>
              <w:jc w:val="both"/>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Name:</w:t>
            </w:r>
          </w:p>
        </w:tc>
        <w:tc>
          <w:tcPr>
            <w:tcW w:w="6077" w:type="dxa"/>
          </w:tcPr>
          <w:p w14:paraId="15999B70" w14:textId="77777777" w:rsidR="00EE1C58" w:rsidRDefault="00EE1C58" w:rsidP="00EE1C58">
            <w:pPr>
              <w:ind w:right="-188"/>
              <w:jc w:val="both"/>
              <w:rPr>
                <w:rStyle w:val="Hyperlink"/>
                <w:rFonts w:asciiTheme="minorHAnsi" w:hAnsiTheme="minorHAnsi" w:cstheme="minorHAnsi"/>
                <w:color w:val="auto"/>
                <w:sz w:val="22"/>
                <w:szCs w:val="22"/>
                <w:u w:val="none"/>
              </w:rPr>
            </w:pPr>
          </w:p>
        </w:tc>
        <w:tc>
          <w:tcPr>
            <w:tcW w:w="851" w:type="dxa"/>
          </w:tcPr>
          <w:p w14:paraId="40ECCF22" w14:textId="4A28BDF4" w:rsidR="00EE1C58" w:rsidRDefault="00EE1C58" w:rsidP="00EE1C58">
            <w:pPr>
              <w:ind w:right="-188"/>
              <w:jc w:val="both"/>
              <w:rPr>
                <w:rStyle w:val="Hyperlink"/>
                <w:rFonts w:asciiTheme="minorHAnsi" w:hAnsiTheme="minorHAnsi" w:cstheme="minorHAnsi"/>
                <w:color w:val="auto"/>
                <w:sz w:val="22"/>
                <w:szCs w:val="22"/>
                <w:u w:val="none"/>
              </w:rPr>
            </w:pPr>
            <w:proofErr w:type="spellStart"/>
            <w:r>
              <w:rPr>
                <w:rStyle w:val="Hyperlink"/>
                <w:rFonts w:asciiTheme="minorHAnsi" w:hAnsiTheme="minorHAnsi" w:cstheme="minorHAnsi"/>
                <w:color w:val="auto"/>
                <w:sz w:val="22"/>
                <w:szCs w:val="22"/>
                <w:u w:val="none"/>
              </w:rPr>
              <w:t>D.o.B</w:t>
            </w:r>
            <w:proofErr w:type="spellEnd"/>
            <w:r>
              <w:rPr>
                <w:rStyle w:val="Hyperlink"/>
                <w:rFonts w:asciiTheme="minorHAnsi" w:hAnsiTheme="minorHAnsi" w:cstheme="minorHAnsi"/>
                <w:color w:val="auto"/>
                <w:sz w:val="22"/>
                <w:szCs w:val="22"/>
                <w:u w:val="none"/>
              </w:rPr>
              <w:t>:</w:t>
            </w:r>
          </w:p>
        </w:tc>
        <w:tc>
          <w:tcPr>
            <w:tcW w:w="1390" w:type="dxa"/>
          </w:tcPr>
          <w:p w14:paraId="57D33513" w14:textId="77777777" w:rsidR="00EE1C58" w:rsidRDefault="00EE1C58" w:rsidP="00EE1C58">
            <w:pPr>
              <w:ind w:right="-188"/>
              <w:jc w:val="both"/>
              <w:rPr>
                <w:rStyle w:val="Hyperlink"/>
                <w:rFonts w:asciiTheme="minorHAnsi" w:hAnsiTheme="minorHAnsi" w:cstheme="minorHAnsi"/>
                <w:color w:val="auto"/>
                <w:sz w:val="22"/>
                <w:szCs w:val="22"/>
                <w:u w:val="none"/>
              </w:rPr>
            </w:pPr>
          </w:p>
        </w:tc>
      </w:tr>
    </w:tbl>
    <w:p w14:paraId="77356CBF" w14:textId="77777777" w:rsidR="00BD2258" w:rsidRPr="00984991" w:rsidRDefault="00BD2258" w:rsidP="00EE1C58">
      <w:pPr>
        <w:spacing w:after="0"/>
        <w:ind w:right="-188"/>
        <w:jc w:val="both"/>
        <w:rPr>
          <w:rStyle w:val="Hyperlink"/>
          <w:rFonts w:asciiTheme="minorHAnsi" w:hAnsiTheme="minorHAnsi" w:cstheme="minorHAnsi"/>
          <w:color w:val="auto"/>
          <w:sz w:val="22"/>
          <w:szCs w:val="22"/>
          <w:u w:val="none"/>
        </w:rPr>
      </w:pPr>
    </w:p>
    <w:p w14:paraId="5799D212" w14:textId="4C63B90C" w:rsidR="00BD2258" w:rsidRPr="00984991" w:rsidRDefault="00995F3F" w:rsidP="00CE5186">
      <w:pPr>
        <w:spacing w:after="0"/>
        <w:ind w:left="-142" w:right="-188"/>
        <w:jc w:val="both"/>
        <w:rPr>
          <w:sz w:val="22"/>
          <w:szCs w:val="22"/>
        </w:rPr>
      </w:pPr>
      <w:sdt>
        <w:sdtPr>
          <w:rPr>
            <w:color w:val="467886" w:themeColor="hyperlink"/>
            <w:sz w:val="22"/>
            <w:szCs w:val="22"/>
            <w:u w:val="single"/>
          </w:rPr>
          <w:id w:val="-823047290"/>
          <w14:checkbox>
            <w14:checked w14:val="0"/>
            <w14:checkedState w14:val="2612" w14:font="MS Gothic"/>
            <w14:uncheckedState w14:val="2610" w14:font="MS Gothic"/>
          </w14:checkbox>
        </w:sdtPr>
        <w:sdtEndPr/>
        <w:sdtContent>
          <w:r w:rsidR="00CE5186">
            <w:rPr>
              <w:rFonts w:ascii="MS Gothic" w:eastAsia="MS Gothic" w:hAnsi="MS Gothic" w:hint="eastAsia"/>
              <w:sz w:val="22"/>
              <w:szCs w:val="22"/>
            </w:rPr>
            <w:t>☐</w:t>
          </w:r>
        </w:sdtContent>
      </w:sdt>
      <w:r w:rsidR="00CE5186">
        <w:rPr>
          <w:sz w:val="22"/>
          <w:szCs w:val="22"/>
        </w:rPr>
        <w:t xml:space="preserve">  </w:t>
      </w:r>
      <w:r w:rsidR="00BD2258" w:rsidRPr="00984991">
        <w:rPr>
          <w:sz w:val="22"/>
          <w:szCs w:val="22"/>
        </w:rPr>
        <w:t>I am the parent / carer with parental responsibility</w:t>
      </w:r>
    </w:p>
    <w:p w14:paraId="487AE951" w14:textId="300CD3C4" w:rsidR="00BD2258" w:rsidRPr="00984991" w:rsidRDefault="00995F3F" w:rsidP="00EE1C58">
      <w:pPr>
        <w:spacing w:after="0"/>
        <w:ind w:left="-142" w:right="-188"/>
        <w:jc w:val="both"/>
        <w:rPr>
          <w:sz w:val="22"/>
          <w:szCs w:val="22"/>
        </w:rPr>
      </w:pPr>
      <w:sdt>
        <w:sdtPr>
          <w:rPr>
            <w:sz w:val="22"/>
            <w:szCs w:val="22"/>
          </w:rPr>
          <w:id w:val="-1553458013"/>
          <w14:checkbox>
            <w14:checked w14:val="0"/>
            <w14:checkedState w14:val="2612" w14:font="MS Gothic"/>
            <w14:uncheckedState w14:val="2610" w14:font="MS Gothic"/>
          </w14:checkbox>
        </w:sdtPr>
        <w:sdtEndPr/>
        <w:sdtContent>
          <w:r w:rsidR="00CE5186">
            <w:rPr>
              <w:rFonts w:ascii="MS Gothic" w:eastAsia="MS Gothic" w:hAnsi="MS Gothic" w:hint="eastAsia"/>
              <w:sz w:val="22"/>
              <w:szCs w:val="22"/>
            </w:rPr>
            <w:t>☐</w:t>
          </w:r>
        </w:sdtContent>
      </w:sdt>
      <w:r w:rsidR="00CE5186">
        <w:rPr>
          <w:sz w:val="22"/>
          <w:szCs w:val="22"/>
        </w:rPr>
        <w:t xml:space="preserve">  </w:t>
      </w:r>
      <w:r w:rsidR="00BD2258" w:rsidRPr="00984991">
        <w:rPr>
          <w:sz w:val="22"/>
          <w:szCs w:val="22"/>
        </w:rPr>
        <w:t>I am the young person (If aged 16 years or above)</w:t>
      </w:r>
    </w:p>
    <w:tbl>
      <w:tblPr>
        <w:tblStyle w:val="TableGrid"/>
        <w:tblW w:w="8963" w:type="dxa"/>
        <w:tblInd w:w="-147" w:type="dxa"/>
        <w:tblLook w:val="04A0" w:firstRow="1" w:lastRow="0" w:firstColumn="1" w:lastColumn="0" w:noHBand="0" w:noVBand="1"/>
      </w:tblPr>
      <w:tblGrid>
        <w:gridCol w:w="1560"/>
        <w:gridCol w:w="7403"/>
      </w:tblGrid>
      <w:tr w:rsidR="00BD2258" w:rsidRPr="00984991" w14:paraId="20F5F2AF" w14:textId="77777777" w:rsidTr="004806B6">
        <w:trPr>
          <w:trHeight w:val="319"/>
        </w:trPr>
        <w:tc>
          <w:tcPr>
            <w:tcW w:w="1560" w:type="dxa"/>
          </w:tcPr>
          <w:p w14:paraId="2E55B3CD" w14:textId="69A986E0" w:rsidR="00BD2258" w:rsidRPr="00984991" w:rsidRDefault="00B216B4" w:rsidP="004355A2">
            <w:pPr>
              <w:spacing w:line="259" w:lineRule="auto"/>
              <w:ind w:left="36" w:right="-164"/>
              <w:jc w:val="both"/>
              <w:rPr>
                <w:sz w:val="22"/>
                <w:szCs w:val="22"/>
              </w:rPr>
            </w:pPr>
            <w:r>
              <w:rPr>
                <w:sz w:val="22"/>
                <w:szCs w:val="22"/>
              </w:rPr>
              <w:t>Name:</w:t>
            </w:r>
            <w:r w:rsidR="00BD2258" w:rsidRPr="00984991">
              <w:rPr>
                <w:sz w:val="22"/>
                <w:szCs w:val="22"/>
              </w:rPr>
              <w:t xml:space="preserve">  </w:t>
            </w:r>
          </w:p>
        </w:tc>
        <w:tc>
          <w:tcPr>
            <w:tcW w:w="7403" w:type="dxa"/>
          </w:tcPr>
          <w:p w14:paraId="28DF7E1D" w14:textId="77777777" w:rsidR="00BD2258" w:rsidRPr="00984991" w:rsidRDefault="00BD2258" w:rsidP="003911A1">
            <w:pPr>
              <w:spacing w:line="259" w:lineRule="auto"/>
              <w:ind w:right="-164"/>
              <w:jc w:val="both"/>
              <w:rPr>
                <w:sz w:val="22"/>
                <w:szCs w:val="22"/>
              </w:rPr>
            </w:pPr>
          </w:p>
        </w:tc>
      </w:tr>
      <w:tr w:rsidR="00BD2258" w:rsidRPr="00984991" w14:paraId="617E4610" w14:textId="77777777" w:rsidTr="004806B6">
        <w:trPr>
          <w:trHeight w:val="306"/>
        </w:trPr>
        <w:tc>
          <w:tcPr>
            <w:tcW w:w="1560" w:type="dxa"/>
          </w:tcPr>
          <w:p w14:paraId="166BD661" w14:textId="708898A9" w:rsidR="00BD2258" w:rsidRPr="00984991" w:rsidRDefault="00B216B4" w:rsidP="004355A2">
            <w:pPr>
              <w:spacing w:line="259" w:lineRule="auto"/>
              <w:ind w:left="36" w:right="-164"/>
              <w:jc w:val="both"/>
              <w:rPr>
                <w:sz w:val="22"/>
                <w:szCs w:val="22"/>
              </w:rPr>
            </w:pPr>
            <w:r>
              <w:rPr>
                <w:sz w:val="22"/>
                <w:szCs w:val="22"/>
              </w:rPr>
              <w:t>Date</w:t>
            </w:r>
            <w:r w:rsidR="00EE1C58">
              <w:rPr>
                <w:sz w:val="22"/>
                <w:szCs w:val="22"/>
              </w:rPr>
              <w:t>:</w:t>
            </w:r>
          </w:p>
        </w:tc>
        <w:tc>
          <w:tcPr>
            <w:tcW w:w="7403" w:type="dxa"/>
          </w:tcPr>
          <w:p w14:paraId="420C008F" w14:textId="77777777" w:rsidR="00BD2258" w:rsidRPr="00984991" w:rsidRDefault="00BD2258" w:rsidP="003911A1">
            <w:pPr>
              <w:spacing w:line="259" w:lineRule="auto"/>
              <w:ind w:right="-164"/>
              <w:jc w:val="both"/>
              <w:rPr>
                <w:sz w:val="22"/>
                <w:szCs w:val="22"/>
              </w:rPr>
            </w:pPr>
          </w:p>
        </w:tc>
      </w:tr>
      <w:tr w:rsidR="00BD2258" w:rsidRPr="00984991" w14:paraId="3D5D3DE2" w14:textId="77777777" w:rsidTr="004806B6">
        <w:trPr>
          <w:trHeight w:val="319"/>
        </w:trPr>
        <w:tc>
          <w:tcPr>
            <w:tcW w:w="1560" w:type="dxa"/>
          </w:tcPr>
          <w:p w14:paraId="4452C507" w14:textId="1366C089" w:rsidR="00BD2258" w:rsidRPr="00984991" w:rsidRDefault="00B216B4" w:rsidP="004355A2">
            <w:pPr>
              <w:spacing w:line="259" w:lineRule="auto"/>
              <w:ind w:left="36" w:right="-164"/>
              <w:jc w:val="both"/>
              <w:rPr>
                <w:sz w:val="22"/>
                <w:szCs w:val="22"/>
              </w:rPr>
            </w:pPr>
            <w:r>
              <w:rPr>
                <w:sz w:val="22"/>
                <w:szCs w:val="22"/>
              </w:rPr>
              <w:t>Signature:</w:t>
            </w:r>
          </w:p>
        </w:tc>
        <w:tc>
          <w:tcPr>
            <w:tcW w:w="7403" w:type="dxa"/>
          </w:tcPr>
          <w:p w14:paraId="365D88FE" w14:textId="77777777" w:rsidR="00BD2258" w:rsidRPr="00984991" w:rsidRDefault="00BD2258" w:rsidP="003911A1">
            <w:pPr>
              <w:spacing w:line="259" w:lineRule="auto"/>
              <w:ind w:right="-164"/>
              <w:jc w:val="both"/>
              <w:rPr>
                <w:sz w:val="22"/>
                <w:szCs w:val="22"/>
              </w:rPr>
            </w:pPr>
          </w:p>
        </w:tc>
      </w:tr>
    </w:tbl>
    <w:p w14:paraId="3D1BD720" w14:textId="77777777" w:rsidR="00BD2258" w:rsidRPr="00984991" w:rsidRDefault="00BD2258" w:rsidP="004355A2">
      <w:pPr>
        <w:spacing w:after="0"/>
        <w:ind w:left="-142" w:right="-164"/>
        <w:jc w:val="both"/>
        <w:rPr>
          <w:sz w:val="22"/>
          <w:szCs w:val="22"/>
        </w:rPr>
      </w:pPr>
    </w:p>
    <w:p w14:paraId="57A58405" w14:textId="3862EBE8" w:rsidR="00B57E94" w:rsidRPr="00984991" w:rsidRDefault="00BD2258" w:rsidP="004355A2">
      <w:pPr>
        <w:spacing w:after="0"/>
        <w:ind w:left="-142" w:right="-164"/>
        <w:jc w:val="both"/>
        <w:rPr>
          <w:b/>
          <w:bCs/>
          <w:sz w:val="22"/>
          <w:szCs w:val="22"/>
        </w:rPr>
      </w:pPr>
      <w:r w:rsidRPr="00984991">
        <w:rPr>
          <w:b/>
          <w:bCs/>
          <w:sz w:val="22"/>
          <w:szCs w:val="22"/>
        </w:rPr>
        <w:t>Verbal consent to engage</w:t>
      </w:r>
    </w:p>
    <w:p w14:paraId="520ADDE5" w14:textId="16D62316" w:rsidR="00BD2258" w:rsidRPr="00984991" w:rsidRDefault="00995F3F" w:rsidP="00EE1C58">
      <w:pPr>
        <w:spacing w:after="0"/>
        <w:ind w:left="-142" w:right="-22" w:hanging="4"/>
        <w:jc w:val="both"/>
        <w:rPr>
          <w:sz w:val="22"/>
          <w:szCs w:val="22"/>
        </w:rPr>
      </w:pPr>
      <w:sdt>
        <w:sdtPr>
          <w:rPr>
            <w:sz w:val="22"/>
            <w:szCs w:val="22"/>
          </w:rPr>
          <w:id w:val="-1372925123"/>
          <w14:checkbox>
            <w14:checked w14:val="0"/>
            <w14:checkedState w14:val="2612" w14:font="MS Gothic"/>
            <w14:uncheckedState w14:val="2610" w14:font="MS Gothic"/>
          </w14:checkbox>
        </w:sdtPr>
        <w:sdtEndPr/>
        <w:sdtContent>
          <w:r w:rsidR="00FB39D3">
            <w:rPr>
              <w:rFonts w:ascii="MS Gothic" w:eastAsia="MS Gothic" w:hAnsi="MS Gothic" w:hint="eastAsia"/>
              <w:sz w:val="22"/>
              <w:szCs w:val="22"/>
            </w:rPr>
            <w:t>☐</w:t>
          </w:r>
        </w:sdtContent>
      </w:sdt>
      <w:r w:rsidR="00CE5186">
        <w:rPr>
          <w:sz w:val="22"/>
          <w:szCs w:val="22"/>
        </w:rPr>
        <w:t xml:space="preserve">  </w:t>
      </w:r>
      <w:r w:rsidR="00BD2258" w:rsidRPr="00984991">
        <w:rPr>
          <w:sz w:val="22"/>
          <w:szCs w:val="22"/>
        </w:rPr>
        <w:t>I am the professional seeking advice and can confirm that I have discussed the request</w:t>
      </w:r>
      <w:r w:rsidR="00CE5186">
        <w:rPr>
          <w:sz w:val="22"/>
          <w:szCs w:val="22"/>
        </w:rPr>
        <w:t xml:space="preserve"> </w:t>
      </w:r>
      <w:r w:rsidR="00BD2258" w:rsidRPr="00984991">
        <w:rPr>
          <w:sz w:val="22"/>
          <w:szCs w:val="22"/>
        </w:rPr>
        <w:t>for</w:t>
      </w:r>
      <w:r w:rsidR="00CE5186">
        <w:rPr>
          <w:sz w:val="22"/>
          <w:szCs w:val="22"/>
        </w:rPr>
        <w:br/>
        <w:t xml:space="preserve">      </w:t>
      </w:r>
      <w:r w:rsidR="00BD2258" w:rsidRPr="00984991">
        <w:rPr>
          <w:sz w:val="22"/>
          <w:szCs w:val="22"/>
        </w:rPr>
        <w:t>support with the parent / carer / young person (if aged 16 years+) and they have verbally</w:t>
      </w:r>
      <w:r w:rsidR="00CE5186">
        <w:rPr>
          <w:sz w:val="22"/>
          <w:szCs w:val="22"/>
        </w:rPr>
        <w:br/>
        <w:t xml:space="preserve">      </w:t>
      </w:r>
      <w:r w:rsidR="00BD2258" w:rsidRPr="00984991">
        <w:rPr>
          <w:sz w:val="22"/>
          <w:szCs w:val="22"/>
        </w:rPr>
        <w:t>consented to engage with the SEND and AP advice service</w:t>
      </w:r>
    </w:p>
    <w:tbl>
      <w:tblPr>
        <w:tblStyle w:val="TableGrid"/>
        <w:tblW w:w="0" w:type="auto"/>
        <w:tblInd w:w="-147" w:type="dxa"/>
        <w:tblLook w:val="04A0" w:firstRow="1" w:lastRow="0" w:firstColumn="1" w:lastColumn="0" w:noHBand="0" w:noVBand="1"/>
      </w:tblPr>
      <w:tblGrid>
        <w:gridCol w:w="1560"/>
        <w:gridCol w:w="7371"/>
      </w:tblGrid>
      <w:tr w:rsidR="00BD2258" w:rsidRPr="00984991" w14:paraId="4036E82A" w14:textId="77777777" w:rsidTr="008B4C1D">
        <w:trPr>
          <w:trHeight w:val="317"/>
        </w:trPr>
        <w:tc>
          <w:tcPr>
            <w:tcW w:w="1560" w:type="dxa"/>
          </w:tcPr>
          <w:p w14:paraId="05EF74DC" w14:textId="5E8128B4" w:rsidR="00BD2258" w:rsidRPr="00984991" w:rsidRDefault="00B216B4" w:rsidP="004355A2">
            <w:pPr>
              <w:spacing w:line="259" w:lineRule="auto"/>
              <w:ind w:left="36" w:right="-164"/>
              <w:jc w:val="both"/>
              <w:rPr>
                <w:sz w:val="22"/>
                <w:szCs w:val="22"/>
              </w:rPr>
            </w:pPr>
            <w:r>
              <w:rPr>
                <w:sz w:val="22"/>
                <w:szCs w:val="22"/>
              </w:rPr>
              <w:t>Name:</w:t>
            </w:r>
          </w:p>
        </w:tc>
        <w:tc>
          <w:tcPr>
            <w:tcW w:w="7371" w:type="dxa"/>
          </w:tcPr>
          <w:p w14:paraId="4E62D29E" w14:textId="77777777" w:rsidR="00BD2258" w:rsidRPr="00984991" w:rsidRDefault="00BD2258" w:rsidP="003911A1">
            <w:pPr>
              <w:spacing w:line="259" w:lineRule="auto"/>
              <w:ind w:right="-164"/>
              <w:jc w:val="both"/>
              <w:rPr>
                <w:sz w:val="22"/>
                <w:szCs w:val="22"/>
              </w:rPr>
            </w:pPr>
          </w:p>
        </w:tc>
      </w:tr>
      <w:tr w:rsidR="00BD2258" w:rsidRPr="00984991" w14:paraId="2D35D7D7" w14:textId="77777777" w:rsidTr="004355A2">
        <w:trPr>
          <w:trHeight w:val="279"/>
        </w:trPr>
        <w:tc>
          <w:tcPr>
            <w:tcW w:w="1560" w:type="dxa"/>
          </w:tcPr>
          <w:p w14:paraId="15757B43" w14:textId="00718E51" w:rsidR="00BD2258" w:rsidRPr="00984991" w:rsidRDefault="00B216B4" w:rsidP="004355A2">
            <w:pPr>
              <w:spacing w:line="259" w:lineRule="auto"/>
              <w:ind w:left="36" w:right="-164"/>
              <w:jc w:val="both"/>
              <w:rPr>
                <w:sz w:val="22"/>
                <w:szCs w:val="22"/>
              </w:rPr>
            </w:pPr>
            <w:r>
              <w:rPr>
                <w:sz w:val="22"/>
                <w:szCs w:val="22"/>
              </w:rPr>
              <w:t>Job Role:</w:t>
            </w:r>
            <w:r w:rsidR="00BD2258" w:rsidRPr="00984991">
              <w:rPr>
                <w:sz w:val="22"/>
                <w:szCs w:val="22"/>
              </w:rPr>
              <w:t xml:space="preserve">  </w:t>
            </w:r>
          </w:p>
        </w:tc>
        <w:tc>
          <w:tcPr>
            <w:tcW w:w="7371" w:type="dxa"/>
          </w:tcPr>
          <w:p w14:paraId="5706714F" w14:textId="77777777" w:rsidR="00BD2258" w:rsidRPr="00984991" w:rsidRDefault="00BD2258" w:rsidP="003911A1">
            <w:pPr>
              <w:spacing w:line="259" w:lineRule="auto"/>
              <w:ind w:right="-164"/>
              <w:jc w:val="both"/>
              <w:rPr>
                <w:sz w:val="22"/>
                <w:szCs w:val="22"/>
              </w:rPr>
            </w:pPr>
          </w:p>
        </w:tc>
      </w:tr>
      <w:tr w:rsidR="00BD2258" w:rsidRPr="00984991" w14:paraId="6AADB677" w14:textId="77777777" w:rsidTr="002134C3">
        <w:tc>
          <w:tcPr>
            <w:tcW w:w="1560" w:type="dxa"/>
          </w:tcPr>
          <w:p w14:paraId="05A61B6A" w14:textId="2A1DE808" w:rsidR="00BD2258" w:rsidRPr="00984991" w:rsidRDefault="00B216B4" w:rsidP="004355A2">
            <w:pPr>
              <w:spacing w:line="259" w:lineRule="auto"/>
              <w:ind w:left="36" w:right="-164"/>
              <w:jc w:val="both"/>
              <w:rPr>
                <w:sz w:val="22"/>
                <w:szCs w:val="22"/>
              </w:rPr>
            </w:pPr>
            <w:r>
              <w:rPr>
                <w:sz w:val="22"/>
                <w:szCs w:val="22"/>
              </w:rPr>
              <w:t>Date:</w:t>
            </w:r>
          </w:p>
        </w:tc>
        <w:tc>
          <w:tcPr>
            <w:tcW w:w="7371" w:type="dxa"/>
          </w:tcPr>
          <w:p w14:paraId="50766FD9" w14:textId="77777777" w:rsidR="00BD2258" w:rsidRPr="00984991" w:rsidRDefault="00BD2258" w:rsidP="003911A1">
            <w:pPr>
              <w:spacing w:line="259" w:lineRule="auto"/>
              <w:ind w:right="-164"/>
              <w:jc w:val="both"/>
              <w:rPr>
                <w:sz w:val="22"/>
                <w:szCs w:val="22"/>
              </w:rPr>
            </w:pPr>
          </w:p>
        </w:tc>
      </w:tr>
      <w:tr w:rsidR="00BD2258" w:rsidRPr="00984991" w14:paraId="723820EF" w14:textId="77777777" w:rsidTr="004355A2">
        <w:trPr>
          <w:trHeight w:val="273"/>
        </w:trPr>
        <w:tc>
          <w:tcPr>
            <w:tcW w:w="1560" w:type="dxa"/>
          </w:tcPr>
          <w:p w14:paraId="253DDCE2" w14:textId="706FA179" w:rsidR="00BD2258" w:rsidRPr="00984991" w:rsidRDefault="00B216B4" w:rsidP="004355A2">
            <w:pPr>
              <w:spacing w:line="259" w:lineRule="auto"/>
              <w:ind w:left="36" w:right="-164"/>
              <w:jc w:val="both"/>
              <w:rPr>
                <w:sz w:val="22"/>
                <w:szCs w:val="22"/>
              </w:rPr>
            </w:pPr>
            <w:r>
              <w:rPr>
                <w:sz w:val="22"/>
                <w:szCs w:val="22"/>
              </w:rPr>
              <w:t>Signature</w:t>
            </w:r>
            <w:r w:rsidR="004355A2">
              <w:rPr>
                <w:sz w:val="22"/>
                <w:szCs w:val="22"/>
              </w:rPr>
              <w:t>:</w:t>
            </w:r>
          </w:p>
        </w:tc>
        <w:tc>
          <w:tcPr>
            <w:tcW w:w="7371" w:type="dxa"/>
          </w:tcPr>
          <w:p w14:paraId="514F81EC" w14:textId="77777777" w:rsidR="00BD2258" w:rsidRPr="00984991" w:rsidRDefault="00BD2258" w:rsidP="003911A1">
            <w:pPr>
              <w:spacing w:line="259" w:lineRule="auto"/>
              <w:ind w:right="-164"/>
              <w:jc w:val="both"/>
              <w:rPr>
                <w:sz w:val="22"/>
                <w:szCs w:val="22"/>
              </w:rPr>
            </w:pPr>
          </w:p>
        </w:tc>
      </w:tr>
    </w:tbl>
    <w:p w14:paraId="206B8CA4" w14:textId="35349651" w:rsidR="00E9454E" w:rsidRPr="00984991" w:rsidRDefault="00E9454E" w:rsidP="00984991">
      <w:pPr>
        <w:jc w:val="both"/>
        <w:rPr>
          <w:sz w:val="22"/>
          <w:szCs w:val="22"/>
        </w:rPr>
      </w:pPr>
    </w:p>
    <w:sectPr w:rsidR="00E9454E" w:rsidRPr="00984991" w:rsidSect="004355A2">
      <w:headerReference w:type="default" r:id="rId8"/>
      <w:footerReference w:type="default" r:id="rId9"/>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DE095" w14:textId="77777777" w:rsidR="00260533" w:rsidRDefault="00260533" w:rsidP="00AC5446">
      <w:pPr>
        <w:spacing w:after="0" w:line="240" w:lineRule="auto"/>
      </w:pPr>
      <w:r>
        <w:separator/>
      </w:r>
    </w:p>
  </w:endnote>
  <w:endnote w:type="continuationSeparator" w:id="0">
    <w:p w14:paraId="7114C3D2" w14:textId="77777777" w:rsidR="00260533" w:rsidRDefault="00260533" w:rsidP="00AC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250BF" w14:textId="0393FA80" w:rsidR="0005349D" w:rsidRDefault="0005349D">
    <w:pPr>
      <w:pStyle w:val="Footer"/>
    </w:pPr>
    <w:r>
      <w:t>Agreement to engage EIC SEND &amp; AP advice service FINAL 24</w:t>
    </w:r>
    <w:r w:rsidR="00995F3F">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37A5E" w14:textId="77777777" w:rsidR="00260533" w:rsidRDefault="00260533" w:rsidP="00AC5446">
      <w:pPr>
        <w:spacing w:after="0" w:line="240" w:lineRule="auto"/>
      </w:pPr>
      <w:r>
        <w:separator/>
      </w:r>
    </w:p>
  </w:footnote>
  <w:footnote w:type="continuationSeparator" w:id="0">
    <w:p w14:paraId="088D76A5" w14:textId="77777777" w:rsidR="00260533" w:rsidRDefault="00260533" w:rsidP="00AC5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3BACA" w14:textId="09E10E97" w:rsidR="00AC5446" w:rsidRDefault="00993127">
    <w:pPr>
      <w:pStyle w:val="Header"/>
    </w:pPr>
    <w:r>
      <w:rPr>
        <w:noProof/>
        <w:lang w:eastAsia="en-GB"/>
        <w14:ligatures w14:val="none"/>
      </w:rPr>
      <w:drawing>
        <wp:anchor distT="0" distB="0" distL="114300" distR="114300" simplePos="0" relativeHeight="251660288" behindDoc="1" locked="0" layoutInCell="1" allowOverlap="1" wp14:anchorId="654EA06C" wp14:editId="727BB7C0">
          <wp:simplePos x="0" y="0"/>
          <wp:positionH relativeFrom="column">
            <wp:posOffset>5382588</wp:posOffset>
          </wp:positionH>
          <wp:positionV relativeFrom="paragraph">
            <wp:posOffset>-412095</wp:posOffset>
          </wp:positionV>
          <wp:extent cx="1135380" cy="1135380"/>
          <wp:effectExtent l="0" t="0" r="7620" b="7620"/>
          <wp:wrapTight wrapText="bothSides">
            <wp:wrapPolygon edited="0">
              <wp:start x="0" y="0"/>
              <wp:lineTo x="0" y="21383"/>
              <wp:lineTo x="21383" y="21383"/>
              <wp:lineTo x="21383" y="0"/>
              <wp:lineTo x="0" y="0"/>
            </wp:wrapPolygon>
          </wp:wrapTight>
          <wp:docPr id="48375068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750686" name="Picture 1">
                    <a:extLst>
                      <a:ext uri="{C183D7F6-B498-43B3-948B-1728B52AA6E4}">
                        <adec:decorative xmlns:adec="http://schemas.microsoft.com/office/drawing/2017/decorative" val="1"/>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35380" cy="113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6463FE">
      <w:rPr>
        <w:noProof/>
      </w:rPr>
      <w:drawing>
        <wp:anchor distT="0" distB="0" distL="114300" distR="114300" simplePos="0" relativeHeight="251659264" behindDoc="0" locked="0" layoutInCell="1" allowOverlap="1" wp14:anchorId="3BD83C30" wp14:editId="0F45430E">
          <wp:simplePos x="0" y="0"/>
          <wp:positionH relativeFrom="column">
            <wp:posOffset>-551836</wp:posOffset>
          </wp:positionH>
          <wp:positionV relativeFrom="paragraph">
            <wp:posOffset>-166370</wp:posOffset>
          </wp:positionV>
          <wp:extent cx="1492250" cy="826770"/>
          <wp:effectExtent l="0" t="0" r="0" b="0"/>
          <wp:wrapSquare wrapText="bothSides"/>
          <wp:docPr id="1387241655" name="Picture 16752714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241655" name="Picture 167527142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2250" cy="826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658FC"/>
    <w:multiLevelType w:val="hybridMultilevel"/>
    <w:tmpl w:val="A3F0B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65D5DA3"/>
    <w:multiLevelType w:val="hybridMultilevel"/>
    <w:tmpl w:val="6E482104"/>
    <w:lvl w:ilvl="0" w:tplc="5B4E14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F266BB"/>
    <w:multiLevelType w:val="hybridMultilevel"/>
    <w:tmpl w:val="AABEA5B0"/>
    <w:lvl w:ilvl="0" w:tplc="5B4E14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52268D"/>
    <w:multiLevelType w:val="multilevel"/>
    <w:tmpl w:val="2CFC1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B600E6"/>
    <w:multiLevelType w:val="multilevel"/>
    <w:tmpl w:val="49DA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65925">
    <w:abstractNumId w:val="0"/>
  </w:num>
  <w:num w:numId="2" w16cid:durableId="1932154127">
    <w:abstractNumId w:val="3"/>
  </w:num>
  <w:num w:numId="3" w16cid:durableId="501824367">
    <w:abstractNumId w:val="4"/>
  </w:num>
  <w:num w:numId="4" w16cid:durableId="1265960077">
    <w:abstractNumId w:val="1"/>
  </w:num>
  <w:num w:numId="5" w16cid:durableId="1197619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587"/>
    <w:rsid w:val="00000E1C"/>
    <w:rsid w:val="00046D20"/>
    <w:rsid w:val="000470F3"/>
    <w:rsid w:val="0005349D"/>
    <w:rsid w:val="000728D2"/>
    <w:rsid w:val="000C4587"/>
    <w:rsid w:val="000D0C18"/>
    <w:rsid w:val="000F0802"/>
    <w:rsid w:val="000F4C9B"/>
    <w:rsid w:val="001004C0"/>
    <w:rsid w:val="0010338D"/>
    <w:rsid w:val="0011135E"/>
    <w:rsid w:val="0012086B"/>
    <w:rsid w:val="001456F7"/>
    <w:rsid w:val="00171FB7"/>
    <w:rsid w:val="00172FA4"/>
    <w:rsid w:val="00201B20"/>
    <w:rsid w:val="002134C3"/>
    <w:rsid w:val="002217EE"/>
    <w:rsid w:val="00224DCC"/>
    <w:rsid w:val="00260533"/>
    <w:rsid w:val="00266F4F"/>
    <w:rsid w:val="002A2D7B"/>
    <w:rsid w:val="002B66BB"/>
    <w:rsid w:val="002B7737"/>
    <w:rsid w:val="002C4444"/>
    <w:rsid w:val="002E3E84"/>
    <w:rsid w:val="003116A8"/>
    <w:rsid w:val="003911A1"/>
    <w:rsid w:val="003C3B32"/>
    <w:rsid w:val="004305DD"/>
    <w:rsid w:val="004355A2"/>
    <w:rsid w:val="00463621"/>
    <w:rsid w:val="00473616"/>
    <w:rsid w:val="00474276"/>
    <w:rsid w:val="0047767F"/>
    <w:rsid w:val="004806B6"/>
    <w:rsid w:val="00490D62"/>
    <w:rsid w:val="004E2005"/>
    <w:rsid w:val="004F41DB"/>
    <w:rsid w:val="005436B7"/>
    <w:rsid w:val="00544147"/>
    <w:rsid w:val="00545F8F"/>
    <w:rsid w:val="0059747B"/>
    <w:rsid w:val="005C399C"/>
    <w:rsid w:val="00600B75"/>
    <w:rsid w:val="0060134C"/>
    <w:rsid w:val="006463FE"/>
    <w:rsid w:val="006577E4"/>
    <w:rsid w:val="00673B78"/>
    <w:rsid w:val="00684CC2"/>
    <w:rsid w:val="006D541E"/>
    <w:rsid w:val="00712E31"/>
    <w:rsid w:val="00715802"/>
    <w:rsid w:val="00746D9C"/>
    <w:rsid w:val="007900AD"/>
    <w:rsid w:val="007B5514"/>
    <w:rsid w:val="007D4AEE"/>
    <w:rsid w:val="007D65D4"/>
    <w:rsid w:val="008101E4"/>
    <w:rsid w:val="0081218F"/>
    <w:rsid w:val="008405E1"/>
    <w:rsid w:val="008560CA"/>
    <w:rsid w:val="0086743E"/>
    <w:rsid w:val="00875536"/>
    <w:rsid w:val="00884EAE"/>
    <w:rsid w:val="008B2444"/>
    <w:rsid w:val="008B4C1D"/>
    <w:rsid w:val="008F6B75"/>
    <w:rsid w:val="00933DB8"/>
    <w:rsid w:val="009436F7"/>
    <w:rsid w:val="009504F6"/>
    <w:rsid w:val="00963405"/>
    <w:rsid w:val="00970972"/>
    <w:rsid w:val="0097262E"/>
    <w:rsid w:val="00984991"/>
    <w:rsid w:val="00993127"/>
    <w:rsid w:val="00995F3F"/>
    <w:rsid w:val="009C1671"/>
    <w:rsid w:val="00A531DD"/>
    <w:rsid w:val="00A774EC"/>
    <w:rsid w:val="00A920A4"/>
    <w:rsid w:val="00AC5446"/>
    <w:rsid w:val="00B07FE9"/>
    <w:rsid w:val="00B216B4"/>
    <w:rsid w:val="00B23828"/>
    <w:rsid w:val="00B27532"/>
    <w:rsid w:val="00B43356"/>
    <w:rsid w:val="00B57E94"/>
    <w:rsid w:val="00BC28AB"/>
    <w:rsid w:val="00BD2258"/>
    <w:rsid w:val="00BE57E9"/>
    <w:rsid w:val="00BF64A9"/>
    <w:rsid w:val="00C0225B"/>
    <w:rsid w:val="00C32D6B"/>
    <w:rsid w:val="00C82373"/>
    <w:rsid w:val="00C97594"/>
    <w:rsid w:val="00CA0DC6"/>
    <w:rsid w:val="00CE5186"/>
    <w:rsid w:val="00D044D7"/>
    <w:rsid w:val="00D15DE9"/>
    <w:rsid w:val="00D268A6"/>
    <w:rsid w:val="00D34B8B"/>
    <w:rsid w:val="00D50D24"/>
    <w:rsid w:val="00D84471"/>
    <w:rsid w:val="00D943F7"/>
    <w:rsid w:val="00DB0D81"/>
    <w:rsid w:val="00DE056A"/>
    <w:rsid w:val="00E214BB"/>
    <w:rsid w:val="00E30CFA"/>
    <w:rsid w:val="00E40A1F"/>
    <w:rsid w:val="00E429CF"/>
    <w:rsid w:val="00E67F7A"/>
    <w:rsid w:val="00E9454E"/>
    <w:rsid w:val="00EA67A6"/>
    <w:rsid w:val="00EC214D"/>
    <w:rsid w:val="00EE1C58"/>
    <w:rsid w:val="00EF3431"/>
    <w:rsid w:val="00F2283E"/>
    <w:rsid w:val="00F440FB"/>
    <w:rsid w:val="00F5192A"/>
    <w:rsid w:val="00F73C8E"/>
    <w:rsid w:val="00F8098C"/>
    <w:rsid w:val="00F85FAA"/>
    <w:rsid w:val="00F8701A"/>
    <w:rsid w:val="00F9354A"/>
    <w:rsid w:val="00FB39D3"/>
    <w:rsid w:val="00FD6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E9C5B"/>
  <w15:chartTrackingRefBased/>
  <w15:docId w15:val="{5E9AF3FD-A500-48FB-9A51-244F8938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8"/>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38D"/>
  </w:style>
  <w:style w:type="paragraph" w:styleId="Heading1">
    <w:name w:val="heading 1"/>
    <w:basedOn w:val="Normal"/>
    <w:next w:val="Normal"/>
    <w:link w:val="Heading1Char"/>
    <w:uiPriority w:val="9"/>
    <w:qFormat/>
    <w:rsid w:val="000C45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45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4587"/>
    <w:pPr>
      <w:keepNext/>
      <w:keepLines/>
      <w:spacing w:before="160" w:after="80"/>
      <w:outlineLvl w:val="2"/>
    </w:pPr>
    <w:rPr>
      <w:rFonts w:asciiTheme="minorHAnsi" w:eastAsiaTheme="majorEastAsia" w:hAnsiTheme="minorHAnsi" w:cstheme="majorBidi"/>
      <w:color w:val="0F4761" w:themeColor="accent1" w:themeShade="BF"/>
      <w:sz w:val="28"/>
    </w:rPr>
  </w:style>
  <w:style w:type="paragraph" w:styleId="Heading4">
    <w:name w:val="heading 4"/>
    <w:basedOn w:val="Normal"/>
    <w:next w:val="Normal"/>
    <w:link w:val="Heading4Char"/>
    <w:uiPriority w:val="9"/>
    <w:semiHidden/>
    <w:unhideWhenUsed/>
    <w:qFormat/>
    <w:rsid w:val="000C458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C458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C458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C458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C458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C458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5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45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4587"/>
    <w:rPr>
      <w:rFonts w:asciiTheme="minorHAnsi" w:eastAsiaTheme="majorEastAsia" w:hAnsiTheme="minorHAnsi" w:cstheme="majorBidi"/>
      <w:color w:val="0F4761" w:themeColor="accent1" w:themeShade="BF"/>
      <w:sz w:val="28"/>
    </w:rPr>
  </w:style>
  <w:style w:type="character" w:customStyle="1" w:styleId="Heading4Char">
    <w:name w:val="Heading 4 Char"/>
    <w:basedOn w:val="DefaultParagraphFont"/>
    <w:link w:val="Heading4"/>
    <w:uiPriority w:val="9"/>
    <w:semiHidden/>
    <w:rsid w:val="000C458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C458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C458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C458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C458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C458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C45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5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4587"/>
    <w:pPr>
      <w:numPr>
        <w:ilvl w:val="1"/>
      </w:numPr>
    </w:pPr>
    <w:rPr>
      <w:rFonts w:asciiTheme="minorHAnsi" w:eastAsiaTheme="majorEastAsia" w:hAnsiTheme="minorHAnsi" w:cstheme="majorBidi"/>
      <w:color w:val="595959" w:themeColor="text1" w:themeTint="A6"/>
      <w:spacing w:val="15"/>
      <w:sz w:val="28"/>
    </w:rPr>
  </w:style>
  <w:style w:type="character" w:customStyle="1" w:styleId="SubtitleChar">
    <w:name w:val="Subtitle Char"/>
    <w:basedOn w:val="DefaultParagraphFont"/>
    <w:link w:val="Subtitle"/>
    <w:uiPriority w:val="11"/>
    <w:rsid w:val="000C4587"/>
    <w:rPr>
      <w:rFonts w:asciiTheme="minorHAnsi" w:eastAsiaTheme="majorEastAsia" w:hAnsiTheme="minorHAnsi" w:cstheme="majorBidi"/>
      <w:color w:val="595959" w:themeColor="text1" w:themeTint="A6"/>
      <w:spacing w:val="15"/>
      <w:sz w:val="28"/>
    </w:rPr>
  </w:style>
  <w:style w:type="paragraph" w:styleId="Quote">
    <w:name w:val="Quote"/>
    <w:basedOn w:val="Normal"/>
    <w:next w:val="Normal"/>
    <w:link w:val="QuoteChar"/>
    <w:uiPriority w:val="29"/>
    <w:qFormat/>
    <w:rsid w:val="000C4587"/>
    <w:pPr>
      <w:spacing w:before="160"/>
      <w:jc w:val="center"/>
    </w:pPr>
    <w:rPr>
      <w:i/>
      <w:iCs/>
      <w:color w:val="404040" w:themeColor="text1" w:themeTint="BF"/>
    </w:rPr>
  </w:style>
  <w:style w:type="character" w:customStyle="1" w:styleId="QuoteChar">
    <w:name w:val="Quote Char"/>
    <w:basedOn w:val="DefaultParagraphFont"/>
    <w:link w:val="Quote"/>
    <w:uiPriority w:val="29"/>
    <w:rsid w:val="000C4587"/>
    <w:rPr>
      <w:i/>
      <w:iCs/>
      <w:color w:val="404040" w:themeColor="text1" w:themeTint="BF"/>
    </w:rPr>
  </w:style>
  <w:style w:type="paragraph" w:styleId="ListParagraph">
    <w:name w:val="List Paragraph"/>
    <w:basedOn w:val="Normal"/>
    <w:uiPriority w:val="34"/>
    <w:qFormat/>
    <w:rsid w:val="000C4587"/>
    <w:pPr>
      <w:ind w:left="720"/>
      <w:contextualSpacing/>
    </w:pPr>
  </w:style>
  <w:style w:type="character" w:styleId="IntenseEmphasis">
    <w:name w:val="Intense Emphasis"/>
    <w:basedOn w:val="DefaultParagraphFont"/>
    <w:uiPriority w:val="21"/>
    <w:qFormat/>
    <w:rsid w:val="000C4587"/>
    <w:rPr>
      <w:i/>
      <w:iCs/>
      <w:color w:val="0F4761" w:themeColor="accent1" w:themeShade="BF"/>
    </w:rPr>
  </w:style>
  <w:style w:type="paragraph" w:styleId="IntenseQuote">
    <w:name w:val="Intense Quote"/>
    <w:basedOn w:val="Normal"/>
    <w:next w:val="Normal"/>
    <w:link w:val="IntenseQuoteChar"/>
    <w:uiPriority w:val="30"/>
    <w:qFormat/>
    <w:rsid w:val="000C45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4587"/>
    <w:rPr>
      <w:i/>
      <w:iCs/>
      <w:color w:val="0F4761" w:themeColor="accent1" w:themeShade="BF"/>
    </w:rPr>
  </w:style>
  <w:style w:type="character" w:styleId="IntenseReference">
    <w:name w:val="Intense Reference"/>
    <w:basedOn w:val="DefaultParagraphFont"/>
    <w:uiPriority w:val="32"/>
    <w:qFormat/>
    <w:rsid w:val="000C4587"/>
    <w:rPr>
      <w:b/>
      <w:bCs/>
      <w:smallCaps/>
      <w:color w:val="0F4761" w:themeColor="accent1" w:themeShade="BF"/>
      <w:spacing w:val="5"/>
    </w:rPr>
  </w:style>
  <w:style w:type="character" w:styleId="Hyperlink">
    <w:name w:val="Hyperlink"/>
    <w:basedOn w:val="DefaultParagraphFont"/>
    <w:uiPriority w:val="99"/>
    <w:unhideWhenUsed/>
    <w:rsid w:val="000C4587"/>
    <w:rPr>
      <w:color w:val="467886" w:themeColor="hyperlink"/>
      <w:u w:val="single"/>
    </w:rPr>
  </w:style>
  <w:style w:type="paragraph" w:styleId="NoSpacing">
    <w:name w:val="No Spacing"/>
    <w:uiPriority w:val="1"/>
    <w:qFormat/>
    <w:rsid w:val="000C4587"/>
    <w:pPr>
      <w:spacing w:after="0" w:line="240" w:lineRule="auto"/>
    </w:pPr>
    <w:rPr>
      <w:rFonts w:ascii="Calibri" w:eastAsia="Calibri" w:hAnsi="Calibri" w:cs="Times New Roman"/>
      <w:kern w:val="0"/>
      <w:sz w:val="22"/>
      <w:szCs w:val="22"/>
      <w14:ligatures w14:val="none"/>
    </w:rPr>
  </w:style>
  <w:style w:type="character" w:styleId="Strong">
    <w:name w:val="Strong"/>
    <w:basedOn w:val="DefaultParagraphFont"/>
    <w:uiPriority w:val="22"/>
    <w:qFormat/>
    <w:rsid w:val="000C4587"/>
    <w:rPr>
      <w:b/>
      <w:bCs/>
    </w:rPr>
  </w:style>
  <w:style w:type="character" w:styleId="UnresolvedMention">
    <w:name w:val="Unresolved Mention"/>
    <w:basedOn w:val="DefaultParagraphFont"/>
    <w:uiPriority w:val="99"/>
    <w:semiHidden/>
    <w:unhideWhenUsed/>
    <w:rsid w:val="00F85FAA"/>
    <w:rPr>
      <w:color w:val="605E5C"/>
      <w:shd w:val="clear" w:color="auto" w:fill="E1DFDD"/>
    </w:rPr>
  </w:style>
  <w:style w:type="table" w:styleId="TableGrid">
    <w:name w:val="Table Grid"/>
    <w:basedOn w:val="TableNormal"/>
    <w:uiPriority w:val="39"/>
    <w:rsid w:val="00F80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84471"/>
    <w:rPr>
      <w:color w:val="96607D" w:themeColor="followedHyperlink"/>
      <w:u w:val="single"/>
    </w:rPr>
  </w:style>
  <w:style w:type="paragraph" w:styleId="Header">
    <w:name w:val="header"/>
    <w:basedOn w:val="Normal"/>
    <w:link w:val="HeaderChar"/>
    <w:uiPriority w:val="99"/>
    <w:unhideWhenUsed/>
    <w:rsid w:val="00AC54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446"/>
  </w:style>
  <w:style w:type="paragraph" w:styleId="Footer">
    <w:name w:val="footer"/>
    <w:basedOn w:val="Normal"/>
    <w:link w:val="FooterChar"/>
    <w:uiPriority w:val="99"/>
    <w:unhideWhenUsed/>
    <w:rsid w:val="00AC54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446"/>
  </w:style>
  <w:style w:type="paragraph" w:styleId="Revision">
    <w:name w:val="Revision"/>
    <w:hidden/>
    <w:uiPriority w:val="99"/>
    <w:semiHidden/>
    <w:rsid w:val="009634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90354">
      <w:bodyDiv w:val="1"/>
      <w:marLeft w:val="0"/>
      <w:marRight w:val="0"/>
      <w:marTop w:val="0"/>
      <w:marBottom w:val="0"/>
      <w:divBdr>
        <w:top w:val="none" w:sz="0" w:space="0" w:color="auto"/>
        <w:left w:val="none" w:sz="0" w:space="0" w:color="auto"/>
        <w:bottom w:val="none" w:sz="0" w:space="0" w:color="auto"/>
        <w:right w:val="none" w:sz="0" w:space="0" w:color="auto"/>
      </w:divBdr>
      <w:divsChild>
        <w:div w:id="1012956157">
          <w:marLeft w:val="0"/>
          <w:marRight w:val="0"/>
          <w:marTop w:val="0"/>
          <w:marBottom w:val="0"/>
          <w:divBdr>
            <w:top w:val="none" w:sz="0" w:space="0" w:color="auto"/>
            <w:left w:val="none" w:sz="0" w:space="0" w:color="auto"/>
            <w:bottom w:val="none" w:sz="0" w:space="0" w:color="auto"/>
            <w:right w:val="none" w:sz="0" w:space="0" w:color="auto"/>
          </w:divBdr>
          <w:divsChild>
            <w:div w:id="150844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eta.bathnes.gov.uk/council-privacy-notices/special-educational-needs-and-disability-send-and-alternative-provision-a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4.png@01DAF488.8AE7D6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Galloway</dc:creator>
  <cp:keywords/>
  <dc:description/>
  <cp:lastModifiedBy>Chloe Fletcher</cp:lastModifiedBy>
  <cp:revision>3</cp:revision>
  <dcterms:created xsi:type="dcterms:W3CDTF">2024-09-30T11:28:00Z</dcterms:created>
  <dcterms:modified xsi:type="dcterms:W3CDTF">2024-09-30T13:00:00Z</dcterms:modified>
</cp:coreProperties>
</file>